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 Cluster Memory Game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6-8</w:t>
            </w:r>
            <w:r w:rsidDel="00000000" w:rsidR="00000000" w:rsidRPr="00000000">
              <w:rPr>
                <w:rFonts w:ascii="Times New Roman" w:cs="Times New Roman" w:eastAsia="Times New Roman" w:hAnsi="Times New Roman"/>
                <w:sz w:val="24"/>
                <w:vertAlign w:val="superscript"/>
                <w:rtl w:val="0"/>
              </w:rPr>
              <w:t xml:space="preserve">th</w:t>
            </w:r>
            <w:r w:rsidDel="00000000" w:rsidR="00000000" w:rsidRPr="00000000">
              <w:rPr>
                <w:rFonts w:ascii="Times New Roman" w:cs="Times New Roman" w:eastAsia="Times New Roman" w:hAnsi="Times New Roman"/>
                <w:sz w:val="24"/>
                <w:rtl w:val="0"/>
              </w:rPr>
              <w:t xml:space="preserve"> Grade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30-35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MS: 4</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9</w:t>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To make informed decisions in career exploration.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1"/>
        </w:numPr>
        <w:spacing w:after="200" w:before="0" w:line="240"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Career Cluster Memory cards (cut out; one per team or per individual) </w:t>
      </w:r>
    </w:p>
    <w:p w:rsidR="00000000" w:rsidDel="00000000" w:rsidP="00000000" w:rsidRDefault="00000000" w:rsidRPr="00000000">
      <w:pPr>
        <w:numPr>
          <w:ilvl w:val="0"/>
          <w:numId w:val="1"/>
        </w:numPr>
        <w:spacing w:after="200" w:before="0" w:line="240"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Laminating the cards helps durability.</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u w:val="single"/>
          <w:rtl w:val="0"/>
        </w:rPr>
        <w:t xml:space="preserve">Introduction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This lesson helps students relate careers and career pathways to the 16 career clusters in a fun and challenging way. Ask the students to name the 16 career clusters. </w:t>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ab/>
      </w:r>
      <w:r w:rsidDel="00000000" w:rsidR="00000000" w:rsidRPr="00000000">
        <w:rPr>
          <w:rFonts w:ascii="Times New Roman" w:cs="Times New Roman" w:eastAsia="Times New Roman" w:hAnsi="Times New Roman"/>
          <w:b w:val="1"/>
          <w:i w:val="1"/>
          <w:sz w:val="24"/>
          <w:rtl w:val="0"/>
        </w:rPr>
        <w:t xml:space="preserve">Time: 5-10 minutes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u w:val="single"/>
          <w:rtl w:val="0"/>
        </w:rPr>
        <w:t xml:space="preserve">Instruction</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Divide the class up into pairs of two based on favorite school subject. (Or this activity can be done individually). Give each pair (or individual) one stack of Career Cluster Memory cards. There should be 32 cards in their stack- 16 with the career cluster names and 16 with the corresponding answers.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Have the students shuffle their deck of cards and place all 32 cards face down on the floor.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 Have the students begin flipping over one card and then flipping a second card to see if it matches. If the cards do not match then the cards need to flipped back over. The students should continue this process until their find a matching career cluster and answer card. Matching career cluster and answer cards should be set off to the side together so you can check for accuracy. </w:t>
      </w:r>
    </w:p>
    <w:p w:rsidR="00000000" w:rsidDel="00000000" w:rsidP="00000000" w:rsidRDefault="00000000" w:rsidRPr="00000000">
      <w:pPr>
        <w:numPr>
          <w:ilvl w:val="0"/>
          <w:numId w:val="2"/>
        </w:numPr>
        <w:spacing w:after="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Have the students tell 2-3 new things they learned about the 16 career clusters. Also, have the students tell what career cluster(s) their favorite subject would fit into.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          </w:t>
        <w:tab/>
      </w:r>
      <w:r w:rsidDel="00000000" w:rsidR="00000000" w:rsidRPr="00000000">
        <w:rPr>
          <w:rFonts w:ascii="Times New Roman" w:cs="Times New Roman" w:eastAsia="Times New Roman" w:hAnsi="Times New Roman"/>
          <w:b w:val="1"/>
          <w:i w:val="1"/>
          <w:sz w:val="24"/>
          <w:rtl w:val="0"/>
        </w:rPr>
        <w:t xml:space="preserve">Time: 20 minutes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u w:val="single"/>
          <w:rtl w:val="0"/>
        </w:rPr>
        <w:t xml:space="preserve">Closure/Wrap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Close with a reminder that career exploration is going to become more and more important as the student progresses through school. Emphasize that the more the student knows about the different careers and career clusters the more informed decision they can make on a future career path.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t xml:space="preserve">Directions: Print and laminate one set of Career Cluster Memory cards per group or individual. These cards feature the 16 career clusters in the form of careers or career pathway descriptions. </w:t>
      </w:r>
    </w:p>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6"/>
        <w:gridCol w:w="2356"/>
        <w:gridCol w:w="2543"/>
        <w:gridCol w:w="2331"/>
        <w:tblGridChange w:id="0">
          <w:tblGrid>
            <w:gridCol w:w="2346"/>
            <w:gridCol w:w="2356"/>
            <w:gridCol w:w="2543"/>
            <w:gridCol w:w="2331"/>
          </w:tblGrid>
        </w:tblGridChange>
      </w:tblGrid>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Agriculture, Food, &amp; Natural Resources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Architecture and Construction</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Arts, Audio/Video Technology, and Communication</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Business Management and Administration</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Agribusiness systems is a pathway to this career cluster</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Careers in designing, planning, managing, building, and maintaining the built environment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Fashion designers, journalists, and telecommunication technicians</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Careers as a medical transcriptionist, auditor, and a small business owner fit in this career cluster</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Education &amp;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Finance</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Government and Public Administration</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Health Science</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Planning, managing, and providing education and training services, and related learning support services</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Planning, services for financial and investment planning, banking, insurance, and business financial management</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Serving as our local Senator or Representative to the SD Legislature</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Pharmacist, EMT, and biochemist</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Hospitality and Tourism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Human Services</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Information Technology</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Law, Public Safety, Corrections, and Security</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Lodging, recreation, restaurant/food services, and travel/tourism are programs of study in this career cluster</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Customer service representatives, school counselors, and social service workers</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Computer engineer, 2D/3D artist, and blog developer</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Lawyer, police officer, and homeland security officer</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Manufacturing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Marketing</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Science, Technology, Engineering, and Mathematics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Transportation, Distribution, and Logistics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Inspector, quality control technician, and welder</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Planning, managing, and performing marketing activities to reach organizational objectives</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Biologist, hydrologist, nuclear engineer, and agricultural engineer</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Planning, management, and movement of people, materials, and goods by road, pipeline, air, rail, and water</w:t>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