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32"/>
          <w:rtl w:val="0"/>
        </w:rPr>
        <w:t xml:space="preserve">Classroom Counseling Lesson Plan </w:t>
      </w:r>
    </w:p>
    <w:tbl>
      <w:tblPr>
        <w:tblStyle w:val="Table1"/>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78"/>
        <w:gridCol w:w="2250"/>
        <w:gridCol w:w="2448"/>
        <w:tblGridChange w:id="0">
          <w:tblGrid>
            <w:gridCol w:w="4878"/>
            <w:gridCol w:w="2250"/>
            <w:gridCol w:w="2448"/>
          </w:tblGrid>
        </w:tblGridChange>
      </w:tblGrid>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Lesson Title</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Grade Range</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Time Needed</w:t>
            </w:r>
          </w:p>
        </w:tc>
      </w:tr>
      <w:tr>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Do We Go to Your School?</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K-2</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20-30 minutes</w:t>
            </w:r>
          </w:p>
        </w:tc>
      </w:tr>
    </w:tbl>
    <w:p w:rsidR="00000000" w:rsidDel="00000000" w:rsidP="00000000" w:rsidRDefault="00000000" w:rsidRPr="00000000">
      <w:pPr>
        <w:contextualSpacing w:val="0"/>
      </w:pPr>
      <w:r w:rsidDel="00000000" w:rsidR="00000000" w:rsidRPr="00000000">
        <w:rPr>
          <w:rtl w:val="0"/>
        </w:rPr>
      </w:r>
    </w:p>
    <w:tbl>
      <w:tblPr>
        <w:tblStyle w:val="Table2"/>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2610"/>
        <w:gridCol w:w="4698"/>
        <w:tblGridChange w:id="0">
          <w:tblGrid>
            <w:gridCol w:w="2268"/>
            <w:gridCol w:w="2610"/>
            <w:gridCol w:w="4698"/>
          </w:tblGrid>
        </w:tblGridChange>
      </w:tblGrid>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Domain</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Mindset Standards</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Behavior Standards</w:t>
            </w:r>
          </w:p>
        </w:tc>
      </w:tr>
      <w:tr>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0"/>
                <w:rtl w:val="0"/>
              </w:rPr>
              <w:t xml:space="preserve">Academic, Emotional/Social</w:t>
            </w:r>
          </w:p>
        </w:tc>
        <w:tc>
          <w:tcPr/>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rtl w:val="0"/>
              </w:rPr>
              <w:t xml:space="preserve">1, 2, 4, 5</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LS 6,9,10    SMS 1,3,5,6,7,8,9    SS 4,5,7,8,9</w:t>
            </w:r>
          </w:p>
        </w:tc>
      </w:tr>
    </w:tbl>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(Acknowledgements to team that wrote the </w:t>
      </w:r>
      <w:r w:rsidDel="00000000" w:rsidR="00000000" w:rsidRPr="00000000">
        <w:rPr>
          <w:rFonts w:ascii="Times New Roman" w:cs="Times New Roman" w:eastAsia="Times New Roman" w:hAnsi="Times New Roman"/>
          <w:b w:val="1"/>
          <w:i w:val="1"/>
          <w:sz w:val="24"/>
          <w:rtl w:val="0"/>
        </w:rPr>
        <w:t xml:space="preserve">Grab Bag of South Dakota Career Activities</w:t>
      </w:r>
      <w:r w:rsidDel="00000000" w:rsidR="00000000" w:rsidRPr="00000000">
        <w:rPr>
          <w:rFonts w:ascii="Times New Roman" w:cs="Times New Roman" w:eastAsia="Times New Roman" w:hAnsi="Times New Roman"/>
          <w:b w:val="1"/>
          <w:sz w:val="24"/>
          <w:rtl w:val="0"/>
        </w:rPr>
        <w:t xml:space="preserve"> from which this lesson is based.)</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sz w:val="24"/>
          <w:rtl w:val="0"/>
        </w:rPr>
        <w:t xml:space="preserve">Learning Objectives: </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Students will learn about different behaviors that are disruptive to learning and social environments. </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Negative aspects will be presented in order to help students avoid engaging in such behaviors in order to achieve success.</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sz w:val="24"/>
          <w:rtl w:val="0"/>
        </w:rPr>
        <w:t xml:space="preserve">Supplies/Materials: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The instructor will need one copy of the attached story. To help engage students it is recommended to use different coordinating sheets of construction paper and attach picture representations of the characters presented. This can be done via clip art or original artwork. The script for each character should then be attached to the back of the construction paper. It is highly recommended to laminate the pages.</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rtl w:val="0"/>
        </w:rPr>
        <w:t xml:space="preserve">Outline: Read the “story” to students.</w:t>
      </w:r>
    </w:p>
    <w:p w:rsidR="00000000" w:rsidDel="00000000" w:rsidP="00000000" w:rsidRDefault="00000000" w:rsidRPr="00000000">
      <w:pPr>
        <w:numPr>
          <w:ilvl w:val="0"/>
          <w:numId w:val="1"/>
        </w:numPr>
        <w:spacing w:after="200" w:before="0" w:line="276" w:lineRule="auto"/>
        <w:ind w:left="720" w:hanging="360"/>
        <w:contextualSpacing w:val="1"/>
        <w:rPr>
          <w:b w:val="0"/>
          <w:sz w:val="24"/>
        </w:rPr>
      </w:pPr>
      <w:r w:rsidDel="00000000" w:rsidR="00000000" w:rsidRPr="00000000">
        <w:rPr>
          <w:rFonts w:ascii="Times New Roman" w:cs="Times New Roman" w:eastAsia="Times New Roman" w:hAnsi="Times New Roman"/>
          <w:b w:val="0"/>
          <w:sz w:val="24"/>
          <w:rtl w:val="0"/>
        </w:rPr>
        <w:t xml:space="preserve">Take time to discuss each character and the challenges they present in a learning and social environment to both themselves and others. </w:t>
      </w:r>
    </w:p>
    <w:p w:rsidR="00000000" w:rsidDel="00000000" w:rsidP="00000000" w:rsidRDefault="00000000" w:rsidRPr="00000000">
      <w:pPr>
        <w:numPr>
          <w:ilvl w:val="0"/>
          <w:numId w:val="1"/>
        </w:numPr>
        <w:spacing w:after="200" w:before="0" w:line="276" w:lineRule="auto"/>
        <w:ind w:left="720" w:hanging="360"/>
        <w:contextualSpacing w:val="1"/>
        <w:rPr>
          <w:b w:val="0"/>
          <w:sz w:val="24"/>
        </w:rPr>
      </w:pPr>
      <w:r w:rsidDel="00000000" w:rsidR="00000000" w:rsidRPr="00000000">
        <w:rPr>
          <w:rFonts w:ascii="Times New Roman" w:cs="Times New Roman" w:eastAsia="Times New Roman" w:hAnsi="Times New Roman"/>
          <w:b w:val="0"/>
          <w:sz w:val="24"/>
          <w:rtl w:val="0"/>
        </w:rPr>
        <w:t xml:space="preserve">You may wish to discuss this lesson with the classroom teacher ahead of time and tailor the script to fit any particular needs the class may have.</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u w:val="single"/>
          <w:rtl w:val="0"/>
        </w:rPr>
        <w:t xml:space="preserve">Title page (suggested to use a picture of a school or classroom):</w:t>
      </w:r>
    </w:p>
    <w:p w:rsidR="00000000" w:rsidDel="00000000" w:rsidP="00000000" w:rsidRDefault="00000000" w:rsidRPr="00000000">
      <w:pPr>
        <w:ind w:left="720" w:firstLine="0"/>
        <w:contextualSpacing w:val="0"/>
        <w:jc w:val="center"/>
      </w:pPr>
      <w:r w:rsidDel="00000000" w:rsidR="00000000" w:rsidRPr="00000000">
        <w:rPr>
          <w:rFonts w:ascii="Times New Roman" w:cs="Times New Roman" w:eastAsia="Times New Roman" w:hAnsi="Times New Roman"/>
          <w:sz w:val="24"/>
          <w:rtl w:val="0"/>
        </w:rPr>
        <w:t xml:space="preserve">“I’d like for you to meet some people I know, although I hope they don’t go to our school!”</w:t>
      </w:r>
    </w:p>
    <w:p w:rsidR="00000000" w:rsidDel="00000000" w:rsidP="00000000" w:rsidRDefault="00000000" w:rsidRPr="00000000">
      <w:pPr>
        <w:spacing w:after="0" w:lineRule="auto"/>
        <w:ind w:left="0" w:firstLine="0"/>
        <w:contextualSpacing w:val="0"/>
      </w:pPr>
      <w:r w:rsidDel="00000000" w:rsidR="00000000" w:rsidRPr="00000000">
        <w:rPr>
          <w:rFonts w:ascii="Times New Roman" w:cs="Times New Roman" w:eastAsia="Times New Roman" w:hAnsi="Times New Roman"/>
          <w:sz w:val="24"/>
          <w:u w:val="single"/>
          <w:rtl w:val="0"/>
        </w:rPr>
        <w:t xml:space="preserve">Greedy Green:</w:t>
      </w:r>
    </w:p>
    <w:p w:rsidR="00000000" w:rsidDel="00000000" w:rsidP="00000000" w:rsidRDefault="00000000" w:rsidRPr="00000000">
      <w:pPr>
        <w:contextualSpacing w:val="0"/>
      </w:pPr>
      <w:bookmarkStart w:colFirst="0" w:colLast="0" w:name="h.gjdgxs" w:id="0"/>
      <w:bookmarkEnd w:id="0"/>
      <w:r w:rsidDel="00000000" w:rsidR="00000000" w:rsidRPr="00000000">
        <w:rPr>
          <w:rFonts w:ascii="Times New Roman" w:cs="Times New Roman" w:eastAsia="Times New Roman" w:hAnsi="Times New Roman"/>
          <w:sz w:val="24"/>
          <w:rtl w:val="0"/>
        </w:rPr>
        <w:t xml:space="preserve">“This is Greedy Green. Greedy Green always wants the most and Greedy Green always wants to be first. When there is just one snack left, Greedy Green wants it. At recess Greedy Green always wants to be ‘it’ when playing tag and Greedy Green always wants to have the ball. Greedy Green never thinks about what others would like. Greedy Green only thinks about Greedy Green. I hope Greedy Green doesn’t go to our school!”</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u w:val="single"/>
          <w:rtl w:val="0"/>
        </w:rPr>
        <w:t xml:space="preserve">Rudy Red: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“Now, I want you to meet Rudy Red. Rudy Red is a good friend of Greedy Green, because Rudy Red only thinks about Rudy Red. Rudy Red does not take time to use good manners by saying ‘please’ or ‘thank-you’. Rudy Red stands in the way when other students need to see the board and whispers and makes lots of noise when the teacher is speaking. Rudy Red has no manners and I am afraid soon Rudy Red will not have any friends either. I hope Rudy Red doesn’t go to our school!”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u w:val="single"/>
          <w:rtl w:val="0"/>
        </w:rPr>
        <w:t xml:space="preserve">Bummer Blue:</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“Now here’s poor Bummer Blue. We must be careful what we say about Bummer Blue because Bummer Blue is always discouraged or negative about something. Bummer Blue complains about not being able to color as well as the other students or that Bummer Blue’s parents don’t help with homework. Bummer Blue asked a friend to come over and when they said they couldn’t one afternoon, but would like to come another, Bummer Blue said no one wanted to play together and Bummer Blue would not ask anyone ever again. Nothing looks too good to Bummer Blue and unfortunately he is starting to not look too good to others either. Have you seen Bummer Blue at our school?”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u w:val="single"/>
          <w:rtl w:val="0"/>
        </w:rPr>
        <w:t xml:space="preserve">Pouty Purple: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“Now I want you to meet Pouty Purple, Bummer Blue’s best friend. You may have guessed what Pouty Purple’s favorite thing to do is. Pouty Purple always says there’s too much to do or the teacher never calls on Pouty Purple. Pouty Purple is always frustrated about something and having a fit. Pouty Purple is often wearing a frown or has a bottom lip stuck out. Pouty Purple misses out on a lot of fun because of pouting all of the time. Does Pouty Purple go to our school?”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u w:val="single"/>
          <w:rtl w:val="0"/>
        </w:rPr>
        <w:t xml:space="preserve">Pokey Pink:</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“Whoops, we almost forgot Pokey Pink! Pokey Pink always comes in late, because of goofing around and not staying on task. Pokey Pink has trouble keeping up with the rest of the class. Pokey Pink messes around in the morning when it is time to get ready and is often late for school. Pokey Pink doesn’t get work done at school and often must take it home to do. Poor Pokey Pink was so pokey today, it was almost too late to be part of our story. Have you ever seen a Pokey Pink? Not at our school I hope.”</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u w:val="single"/>
          <w:rtl w:val="0"/>
        </w:rPr>
        <w:t xml:space="preserve">Tattle Tan:</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Next is Tattle Tan, who favorite thing to do is to tattle. Tattle Tan tells if someone is making a face or thinks someone might make a face. Tattle Tan complains to the teacher that kids aren’t lining up the right way or someone isn’t using the right crayon. Tattle Tan doesn’t understand the difference between tattling and telling when something is important. Tattle Tan is exhausted by the end of the day from all of the tattling. I hope Tattle Tan isn’t at our school.”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u w:val="single"/>
          <w:rtl w:val="0"/>
        </w:rPr>
        <w:t xml:space="preserve">Yelling Yellow:</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“We cannot overlook Yelling Yellow. When Yelling Yellow is around, you can’t hear anyone else. Yelling Yellow has no ‘indoor voice’ and is constantly running around and making a big racket. At the lunch table, Yelling Yellow is always talking the loudest and longest. You can always find Yelling Yellow in a crowd, just listen for the loudest voice. Even at school, Yelling Yellow is stomping, running, and yelling in the hallways. Let’s hope Yelling Yellow doesn’t come to our school.”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u w:val="single"/>
          <w:rtl w:val="0"/>
        </w:rPr>
        <w:t xml:space="preserve">Blurty Brown:</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“Uh-oh! Here comes Blurty Brown. I’d better hurry and tell you about Blurty Brown or I won’t get a chance. Whenever someone starts to talk, Blurty Brown interrupts and starts talking louder. If someone else is trying to share an answer or a story, Blurty Brown jumps in and starts telling a different one. Blurty Brown does not wait for the teacher before blurting out answers to the whole class. Most people wish Blurty Brown would just keep quiet once in a while. I hope Blurty Brown doesn’t go to our school.”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u w:val="single"/>
          <w:rtl w:val="0"/>
        </w:rPr>
        <w:t xml:space="preserve">Tommy and Tillie Tryer:</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“Last of all I want you to meet Tommy and Tillie Tryer. I think you will like getting to know them. They are not selfish like Greedy Green and never rude like Rudy Red. Tommy and Tillie don’t enjoy tattling like Tattle Tan and aren’t always down and discouraged like Bummer Blue. You don’t hear Tommy and Tillie running inside and hollering like Yelling Yellow or see them with a grumpy face like Pouty Purple.</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Tommy and Tillie Tryer are very careful to not interrupt like Blurty Brown and never come in late like Pokey Pink. They are always trying to think about other people first. Because of this, they have lots of friends and their teachers and families are very proud and happy with them. I hope we have lots of Tommy and Tillie Tryers at our school…and I hope you are just like them too!”</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