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Dueling Cards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9, SMS 1,5,8,11; SS 1,2,4-9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4"/>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Understand the role of respect in school and careers</w:t>
      </w:r>
    </w:p>
    <w:p w:rsidR="00000000" w:rsidDel="00000000" w:rsidP="00000000" w:rsidRDefault="00000000" w:rsidRPr="00000000">
      <w:pPr>
        <w:numPr>
          <w:ilvl w:val="0"/>
          <w:numId w:val="4"/>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Exposure to workplace hierarchies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Deck of playing cards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Post it note</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Pencil</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Number representation made prior to activity or write on board</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White board &amp; marker</w:t>
      </w:r>
      <w:r w:rsidDel="00000000" w:rsidR="00000000" w:rsidRPr="00000000">
        <w:rPr>
          <w:rtl w:val="0"/>
        </w:rPr>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Pass out a playing card to each student using all of one suit first</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To closer represent a workplace distribute more lower numbered cards than higher</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Tell them to not show or tell anyone</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Pair students up with a partner</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Hang/Write Number Representation chart </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 xml:space="preserve">*List only the first position listed for the activity.  At the end of the activity let students help you list the comparable school job (interesting to see the comparison of what students think).  Those listed in parenthesis are only suggestions.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Ace – Chairman of the Board (Community who elect the school board)</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King – President (School Board)</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Queen – Vice President (Superintendent)</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Jack – Director (Principal(s))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10 – Manager (Business Manager)</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9 – Accountant (teachers)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8 – Supervisor (school nurse)</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7 – Office (secretary)</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6 – Line Supervisor (para-professionals)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5 – Line Worker (cooks)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4 – Delivery Driver (janitors)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3 – Mail Room Worker (bus drivers)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2 – Custodian (students)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On the count of 3 the pair shows each other their card</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Winner gets 10 points to be written on their post it note</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If a tie, red beats black due to seniority in the company</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Switch cards with their partner</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Find a new partner</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Repeat steps 5-8 for about 5-7 rounds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Report out scores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Process Questions:</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What was the highest position you held?  Lowest?</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How can you tell when a person has authority, power and prestige at work?</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How would a lower level position show respect for a higher level person?  How would a higher level person show respect for a lower level person?</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What would happen to someone who showed a lack of respect?</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Should we automatically respect those who have authority over us?</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How is respect gained in the workplace?  How can it be lost?</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What part does respect for one another play in the success of a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Adapted from: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Jackson, Tom (2000) Still More Activities That Teach</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