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High School Graduation Requirements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6-8</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30+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Academic, Career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1, 3, 6-10    SMS 1, 9, 11    SS 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 </w:t>
      </w:r>
    </w:p>
    <w:p w:rsidR="00000000" w:rsidDel="00000000" w:rsidP="00000000" w:rsidRDefault="00000000" w:rsidRPr="00000000">
      <w:pPr>
        <w:numPr>
          <w:ilvl w:val="0"/>
          <w:numId w:val="1"/>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Students will become familiar with the state of South Dakota’s high school graduation requirements. </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Students will be made of aware of proper planning to graduate and successfully transition into post secondary education</w:t>
      </w:r>
      <w:r w:rsidDel="00000000" w:rsidR="00000000" w:rsidRPr="00000000">
        <w:rPr>
          <w:rFonts w:ascii="Times New Roman" w:cs="Times New Roman" w:eastAsia="Times New Roman" w:hAnsi="Times New Roman"/>
          <w:b w:val="1"/>
          <w:sz w:val="24"/>
          <w:rtl w:val="0"/>
        </w:rPr>
        <w:t xml:space="preserv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 A copy of current South Dakota graduation requirements and any graduation requirements that are specific to your district [you may want to create a handout for each student and/or create a visual guide for discussion]</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 </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bookmarkStart w:colFirst="0" w:colLast="0" w:name="h.gjdgxs" w:id="0"/>
      <w:bookmarkEnd w:id="0"/>
      <w:r w:rsidDel="00000000" w:rsidR="00000000" w:rsidRPr="00000000">
        <w:rPr>
          <w:rFonts w:ascii="Times New Roman" w:cs="Times New Roman" w:eastAsia="Times New Roman" w:hAnsi="Times New Roman"/>
          <w:b w:val="0"/>
          <w:sz w:val="24"/>
          <w:rtl w:val="0"/>
        </w:rPr>
        <w:t xml:space="preserve">If needed, explain to students how high school differs from elementary and MS/JH</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Explain to students what credits are and how they are earned </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Discuss the different requirements and facilitate discussion as to why each is important</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Answer questions along the way and be sure let students know that if you do not know the answer, you will find out and let them know by the next class session</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In addition, you may want to share with students information about the South Dakota Opportunity Scholarship and how factors like scholarships and post-secondary plans can help them in determining the classes they will need to take</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Encourage students to think of other questions they may have and address if/when they share in future classes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rFonts w:ascii="Times New Roman" w:cs="Times New Roman" w:eastAsia="Times New Roman" w:hAnsi="Times New Roman"/>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